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3BD26" w14:textId="2FCB9AAA" w:rsidR="00B63D56" w:rsidRDefault="005F4BED">
      <w:pPr>
        <w:rPr>
          <w:rFonts w:cs="Arial"/>
          <w:noProof/>
          <w:sz w:val="40"/>
          <w:szCs w:val="40"/>
          <w:lang w:eastAsia="en-GB"/>
        </w:rPr>
      </w:pPr>
      <w:r>
        <w:rPr>
          <w:rFonts w:cs="Arial"/>
          <w:noProof/>
          <w:sz w:val="40"/>
          <w:szCs w:val="40"/>
          <w:lang w:eastAsia="en-GB"/>
        </w:rPr>
        <w:drawing>
          <wp:anchor distT="0" distB="0" distL="114300" distR="114300" simplePos="0" relativeHeight="251679744" behindDoc="0" locked="0" layoutInCell="1" allowOverlap="1" wp14:anchorId="6B69F3C0" wp14:editId="3E91EA9E">
            <wp:simplePos x="0" y="0"/>
            <wp:positionH relativeFrom="margin">
              <wp:posOffset>1371600</wp:posOffset>
            </wp:positionH>
            <wp:positionV relativeFrom="paragraph">
              <wp:posOffset>114300</wp:posOffset>
            </wp:positionV>
            <wp:extent cx="2857500" cy="1590675"/>
            <wp:effectExtent l="114300" t="114300" r="114300" b="14287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w logo Just Eat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0" t="17446" r="2978" b="30213"/>
                    <a:stretch/>
                  </pic:blipFill>
                  <pic:spPr bwMode="auto">
                    <a:xfrm>
                      <a:off x="0" y="0"/>
                      <a:ext cx="2857500" cy="1590675"/>
                    </a:xfrm>
                    <a:prstGeom prst="rect">
                      <a:avLst/>
                    </a:prstGeom>
                    <a:solidFill>
                      <a:srgbClr val="BBF2F3"/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C31F2" w14:textId="205674CD" w:rsidR="00BE0799" w:rsidRDefault="00BE0799">
      <w:pPr>
        <w:rPr>
          <w:rFonts w:cs="Arial"/>
          <w:noProof/>
          <w:sz w:val="40"/>
          <w:szCs w:val="40"/>
          <w:lang w:eastAsia="en-GB"/>
        </w:rPr>
      </w:pPr>
    </w:p>
    <w:p w14:paraId="09F4F446" w14:textId="77777777" w:rsidR="00BE0799" w:rsidRDefault="00BE0799">
      <w:pPr>
        <w:rPr>
          <w:rFonts w:cs="Arial"/>
          <w:noProof/>
          <w:sz w:val="40"/>
          <w:szCs w:val="40"/>
          <w:lang w:eastAsia="en-GB"/>
        </w:rPr>
      </w:pPr>
    </w:p>
    <w:p w14:paraId="154BCF5D" w14:textId="77777777" w:rsidR="00BE0799" w:rsidRDefault="00BE0799">
      <w:pPr>
        <w:rPr>
          <w:rFonts w:cs="Arial"/>
          <w:noProof/>
          <w:sz w:val="40"/>
          <w:szCs w:val="40"/>
          <w:lang w:eastAsia="en-GB"/>
        </w:rPr>
      </w:pPr>
    </w:p>
    <w:p w14:paraId="185EE387" w14:textId="77777777" w:rsidR="00C42066" w:rsidRDefault="00C42066" w:rsidP="00C42066">
      <w:pPr>
        <w:rPr>
          <w:rFonts w:cs="Arial"/>
          <w:noProof/>
          <w:sz w:val="40"/>
          <w:szCs w:val="40"/>
          <w:lang w:eastAsia="en-GB"/>
        </w:rPr>
      </w:pPr>
    </w:p>
    <w:p w14:paraId="0B4B6320" w14:textId="3DC879E2" w:rsidR="00BE0799" w:rsidRDefault="00536155" w:rsidP="00C42066">
      <w:pPr>
        <w:jc w:val="center"/>
        <w:rPr>
          <w:rFonts w:cs="Arial"/>
          <w:noProof/>
          <w:sz w:val="40"/>
          <w:szCs w:val="40"/>
          <w:lang w:eastAsia="en-GB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225666C" wp14:editId="11095744">
            <wp:simplePos x="0" y="0"/>
            <wp:positionH relativeFrom="margin">
              <wp:align>left</wp:align>
            </wp:positionH>
            <wp:positionV relativeFrom="paragraph">
              <wp:posOffset>499745</wp:posOffset>
            </wp:positionV>
            <wp:extent cx="6353175" cy="3752850"/>
            <wp:effectExtent l="0" t="0" r="9525" b="0"/>
            <wp:wrapTight wrapText="bothSides">
              <wp:wrapPolygon edited="0">
                <wp:start x="0" y="0"/>
                <wp:lineTo x="0" y="21490"/>
                <wp:lineTo x="21568" y="21490"/>
                <wp:lineTo x="21568" y="0"/>
                <wp:lineTo x="0" y="0"/>
              </wp:wrapPolygon>
            </wp:wrapTight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E1D3677F-A594-41A6-A8B7-0647EF3549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74C">
        <w:rPr>
          <w:rFonts w:cs="Arial"/>
          <w:noProof/>
          <w:sz w:val="40"/>
          <w:szCs w:val="40"/>
          <w:lang w:eastAsia="en-GB"/>
        </w:rPr>
        <w:t>May</w:t>
      </w:r>
      <w:r w:rsidR="00523324">
        <w:rPr>
          <w:rFonts w:cs="Arial"/>
          <w:noProof/>
          <w:sz w:val="40"/>
          <w:szCs w:val="40"/>
          <w:lang w:eastAsia="en-GB"/>
        </w:rPr>
        <w:t xml:space="preserve"> 2019 </w:t>
      </w:r>
      <w:r w:rsidR="00BE0799">
        <w:rPr>
          <w:rFonts w:cs="Arial"/>
          <w:noProof/>
          <w:sz w:val="40"/>
          <w:szCs w:val="40"/>
          <w:lang w:eastAsia="en-GB"/>
        </w:rPr>
        <w:t>performance</w:t>
      </w:r>
    </w:p>
    <w:p w14:paraId="18CF871D" w14:textId="3BE0E546" w:rsidR="00536155" w:rsidRDefault="00536155" w:rsidP="00C42066">
      <w:pPr>
        <w:jc w:val="center"/>
        <w:rPr>
          <w:rFonts w:cs="Arial"/>
          <w:noProof/>
          <w:sz w:val="40"/>
          <w:szCs w:val="40"/>
          <w:lang w:eastAsia="en-GB"/>
        </w:rPr>
      </w:pPr>
    </w:p>
    <w:p w14:paraId="31225B7D" w14:textId="0E1C9F4F" w:rsidR="00536155" w:rsidRDefault="00536155" w:rsidP="00C42066">
      <w:pPr>
        <w:jc w:val="center"/>
        <w:rPr>
          <w:rFonts w:cs="Arial"/>
          <w:noProof/>
          <w:sz w:val="40"/>
          <w:szCs w:val="40"/>
          <w:lang w:eastAsia="en-GB"/>
        </w:rPr>
      </w:pPr>
    </w:p>
    <w:p w14:paraId="45BFC779" w14:textId="268DE7DE" w:rsidR="00BE0799" w:rsidRDefault="00BE0799" w:rsidP="00BE0799">
      <w:pPr>
        <w:rPr>
          <w:rFonts w:cs="Arial"/>
          <w:noProof/>
          <w:sz w:val="40"/>
          <w:szCs w:val="40"/>
          <w:lang w:eastAsia="en-GB"/>
        </w:rPr>
      </w:pPr>
      <w:bookmarkStart w:id="0" w:name="_GoBack"/>
      <w:bookmarkEnd w:id="0"/>
      <w:r>
        <w:rPr>
          <w:rFonts w:cs="Arial"/>
          <w:noProof/>
          <w:sz w:val="40"/>
          <w:szCs w:val="40"/>
          <w:lang w:eastAsia="en-GB"/>
        </w:rPr>
        <w:t xml:space="preserve">There </w:t>
      </w:r>
      <w:r w:rsidR="00F23CBE">
        <w:rPr>
          <w:rFonts w:cs="Arial"/>
          <w:noProof/>
          <w:sz w:val="40"/>
          <w:szCs w:val="40"/>
          <w:lang w:eastAsia="en-GB"/>
        </w:rPr>
        <w:t>were a total of 1</w:t>
      </w:r>
      <w:r w:rsidR="00536155">
        <w:rPr>
          <w:rFonts w:cs="Arial"/>
          <w:noProof/>
          <w:sz w:val="40"/>
          <w:szCs w:val="40"/>
          <w:lang w:eastAsia="en-GB"/>
        </w:rPr>
        <w:t>6720</w:t>
      </w:r>
      <w:r w:rsidR="00F23CBE">
        <w:rPr>
          <w:rFonts w:cs="Arial"/>
          <w:noProof/>
          <w:sz w:val="40"/>
          <w:szCs w:val="40"/>
          <w:lang w:eastAsia="en-GB"/>
        </w:rPr>
        <w:t xml:space="preserve"> rentals in</w:t>
      </w:r>
      <w:r w:rsidR="00E44C34">
        <w:rPr>
          <w:rFonts w:cs="Arial"/>
          <w:noProof/>
          <w:sz w:val="40"/>
          <w:szCs w:val="40"/>
          <w:lang w:eastAsia="en-GB"/>
        </w:rPr>
        <w:t xml:space="preserve"> </w:t>
      </w:r>
      <w:r w:rsidR="00536155">
        <w:rPr>
          <w:rFonts w:cs="Arial"/>
          <w:noProof/>
          <w:sz w:val="40"/>
          <w:szCs w:val="40"/>
          <w:lang w:eastAsia="en-GB"/>
        </w:rPr>
        <w:t>May</w:t>
      </w:r>
      <w:r w:rsidR="009502B4">
        <w:rPr>
          <w:rFonts w:cs="Arial"/>
          <w:noProof/>
          <w:sz w:val="40"/>
          <w:szCs w:val="40"/>
          <w:lang w:eastAsia="en-GB"/>
        </w:rPr>
        <w:t xml:space="preserve"> 2019</w:t>
      </w:r>
    </w:p>
    <w:p w14:paraId="69544033" w14:textId="77777777" w:rsidR="00BE0799" w:rsidRDefault="00BE0799">
      <w:pPr>
        <w:rPr>
          <w:rFonts w:cs="Arial"/>
          <w:noProof/>
          <w:sz w:val="40"/>
          <w:szCs w:val="40"/>
          <w:lang w:eastAsia="en-GB"/>
        </w:rPr>
      </w:pPr>
    </w:p>
    <w:p w14:paraId="274458AB" w14:textId="6F0B07BB" w:rsidR="00BE0799" w:rsidRDefault="009753AC"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414DD0D0" wp14:editId="6D2BD8B5">
            <wp:simplePos x="0" y="0"/>
            <wp:positionH relativeFrom="margin">
              <wp:align>left</wp:align>
            </wp:positionH>
            <wp:positionV relativeFrom="paragraph">
              <wp:posOffset>317</wp:posOffset>
            </wp:positionV>
            <wp:extent cx="6424295" cy="8839200"/>
            <wp:effectExtent l="0" t="0" r="14605" b="0"/>
            <wp:wrapTight wrapText="bothSides">
              <wp:wrapPolygon edited="0">
                <wp:start x="0" y="0"/>
                <wp:lineTo x="0" y="21553"/>
                <wp:lineTo x="21585" y="21553"/>
                <wp:lineTo x="21585" y="0"/>
                <wp:lineTo x="0" y="0"/>
              </wp:wrapPolygon>
            </wp:wrapTight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4818ABB-A392-4B8F-BF66-19DB0AE11F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0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799"/>
    <w:rsid w:val="0007623F"/>
    <w:rsid w:val="00523324"/>
    <w:rsid w:val="00536155"/>
    <w:rsid w:val="005D6A30"/>
    <w:rsid w:val="005F4BED"/>
    <w:rsid w:val="0061518B"/>
    <w:rsid w:val="00827283"/>
    <w:rsid w:val="00904BC6"/>
    <w:rsid w:val="009502B4"/>
    <w:rsid w:val="009753AC"/>
    <w:rsid w:val="00AA174C"/>
    <w:rsid w:val="00B63D56"/>
    <w:rsid w:val="00BE0799"/>
    <w:rsid w:val="00C42066"/>
    <w:rsid w:val="00E44C34"/>
    <w:rsid w:val="00F2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91092"/>
  <w15:chartTrackingRefBased/>
  <w15:docId w15:val="{14D51448-C5C0-4DD8-980C-F3E8F92F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'2019 Rental Figures'!$B$128:$B$158</c:f>
              <c:numCache>
                <c:formatCode>m/d/yyyy</c:formatCode>
                <c:ptCount val="31"/>
                <c:pt idx="0">
                  <c:v>43586</c:v>
                </c:pt>
                <c:pt idx="1">
                  <c:v>43587</c:v>
                </c:pt>
                <c:pt idx="2">
                  <c:v>43588</c:v>
                </c:pt>
                <c:pt idx="3">
                  <c:v>43589</c:v>
                </c:pt>
                <c:pt idx="4">
                  <c:v>43590</c:v>
                </c:pt>
                <c:pt idx="5">
                  <c:v>43591</c:v>
                </c:pt>
                <c:pt idx="6">
                  <c:v>43592</c:v>
                </c:pt>
                <c:pt idx="7">
                  <c:v>43593</c:v>
                </c:pt>
                <c:pt idx="8">
                  <c:v>43594</c:v>
                </c:pt>
                <c:pt idx="9">
                  <c:v>43595</c:v>
                </c:pt>
                <c:pt idx="10">
                  <c:v>43596</c:v>
                </c:pt>
                <c:pt idx="11">
                  <c:v>43597</c:v>
                </c:pt>
                <c:pt idx="12">
                  <c:v>43598</c:v>
                </c:pt>
                <c:pt idx="13">
                  <c:v>43599</c:v>
                </c:pt>
                <c:pt idx="14">
                  <c:v>43600</c:v>
                </c:pt>
                <c:pt idx="15">
                  <c:v>43601</c:v>
                </c:pt>
                <c:pt idx="16">
                  <c:v>43602</c:v>
                </c:pt>
                <c:pt idx="17">
                  <c:v>43603</c:v>
                </c:pt>
                <c:pt idx="18">
                  <c:v>43604</c:v>
                </c:pt>
                <c:pt idx="19">
                  <c:v>43605</c:v>
                </c:pt>
                <c:pt idx="20">
                  <c:v>43606</c:v>
                </c:pt>
                <c:pt idx="21">
                  <c:v>43607</c:v>
                </c:pt>
                <c:pt idx="22">
                  <c:v>43608</c:v>
                </c:pt>
                <c:pt idx="23">
                  <c:v>43609</c:v>
                </c:pt>
                <c:pt idx="24">
                  <c:v>43610</c:v>
                </c:pt>
                <c:pt idx="25">
                  <c:v>43611</c:v>
                </c:pt>
                <c:pt idx="26">
                  <c:v>43612</c:v>
                </c:pt>
                <c:pt idx="27">
                  <c:v>43613</c:v>
                </c:pt>
                <c:pt idx="28">
                  <c:v>43614</c:v>
                </c:pt>
                <c:pt idx="29">
                  <c:v>43615</c:v>
                </c:pt>
                <c:pt idx="30">
                  <c:v>43616</c:v>
                </c:pt>
              </c:numCache>
            </c:numRef>
          </c:cat>
          <c:val>
            <c:numRef>
              <c:f>'2019 Rental Figures'!$E$128:$E$158</c:f>
              <c:numCache>
                <c:formatCode>General</c:formatCode>
                <c:ptCount val="31"/>
                <c:pt idx="0">
                  <c:v>689</c:v>
                </c:pt>
                <c:pt idx="1">
                  <c:v>716</c:v>
                </c:pt>
                <c:pt idx="2">
                  <c:v>607</c:v>
                </c:pt>
                <c:pt idx="3">
                  <c:v>310</c:v>
                </c:pt>
                <c:pt idx="4">
                  <c:v>359</c:v>
                </c:pt>
                <c:pt idx="5">
                  <c:v>228</c:v>
                </c:pt>
                <c:pt idx="6">
                  <c:v>572</c:v>
                </c:pt>
                <c:pt idx="7">
                  <c:v>463</c:v>
                </c:pt>
                <c:pt idx="8">
                  <c:v>608</c:v>
                </c:pt>
                <c:pt idx="9">
                  <c:v>591</c:v>
                </c:pt>
                <c:pt idx="10">
                  <c:v>348</c:v>
                </c:pt>
                <c:pt idx="11">
                  <c:v>264</c:v>
                </c:pt>
                <c:pt idx="12">
                  <c:v>672</c:v>
                </c:pt>
                <c:pt idx="13">
                  <c:v>763</c:v>
                </c:pt>
                <c:pt idx="14">
                  <c:v>732</c:v>
                </c:pt>
                <c:pt idx="15">
                  <c:v>760</c:v>
                </c:pt>
                <c:pt idx="16">
                  <c:v>706</c:v>
                </c:pt>
                <c:pt idx="17">
                  <c:v>189</c:v>
                </c:pt>
                <c:pt idx="18">
                  <c:v>257</c:v>
                </c:pt>
                <c:pt idx="19">
                  <c:v>629</c:v>
                </c:pt>
                <c:pt idx="20">
                  <c:v>803</c:v>
                </c:pt>
                <c:pt idx="21">
                  <c:v>862</c:v>
                </c:pt>
                <c:pt idx="22">
                  <c:v>733</c:v>
                </c:pt>
                <c:pt idx="23">
                  <c:v>653</c:v>
                </c:pt>
                <c:pt idx="24">
                  <c:v>282</c:v>
                </c:pt>
                <c:pt idx="25">
                  <c:v>240</c:v>
                </c:pt>
                <c:pt idx="26">
                  <c:v>365</c:v>
                </c:pt>
                <c:pt idx="27">
                  <c:v>809</c:v>
                </c:pt>
                <c:pt idx="28">
                  <c:v>516</c:v>
                </c:pt>
                <c:pt idx="29">
                  <c:v>494</c:v>
                </c:pt>
                <c:pt idx="30">
                  <c:v>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9F-4EB8-9BFB-E46AD25EA1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42714640"/>
        <c:axId val="742720872"/>
      </c:barChart>
      <c:dateAx>
        <c:axId val="742714640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42720872"/>
        <c:crosses val="autoZero"/>
        <c:auto val="1"/>
        <c:lblOffset val="100"/>
        <c:baseTimeUnit val="days"/>
      </c:dateAx>
      <c:valAx>
        <c:axId val="742720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42714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May</a:t>
            </a:r>
            <a:r>
              <a:rPr lang="en-GB" baseline="0"/>
              <a:t> 2019, Rentals by station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'Rentals and Returns by Station '!$B$1</c:f>
              <c:strCache>
                <c:ptCount val="1"/>
                <c:pt idx="0">
                  <c:v>Station number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'Rentals and Returns by Station '!$A$2:$A$47</c:f>
              <c:strCache>
                <c:ptCount val="46"/>
                <c:pt idx="0">
                  <c:v>Falls Road/Twin Spire</c:v>
                </c:pt>
                <c:pt idx="1">
                  <c:v>Girdwood Community Hub/ Cliftonville Park Avenue</c:v>
                </c:pt>
                <c:pt idx="2">
                  <c:v>Mater Hospital/Crumlin Road</c:v>
                </c:pt>
                <c:pt idx="3">
                  <c:v>Skainos </c:v>
                </c:pt>
                <c:pt idx="4">
                  <c:v>Royal Victoria Hospital</c:v>
                </c:pt>
                <c:pt idx="5">
                  <c:v>Carlisle Circus</c:v>
                </c:pt>
                <c:pt idx="6">
                  <c:v>Antrim Road / Duncairn Centre</c:v>
                </c:pt>
                <c:pt idx="7">
                  <c:v>Millfield</c:v>
                </c:pt>
                <c:pt idx="8">
                  <c:v>Grosvenor Road/Servia Street</c:v>
                </c:pt>
                <c:pt idx="9">
                  <c:v>Ormeau Road/Somerset Street</c:v>
                </c:pt>
                <c:pt idx="10">
                  <c:v>Fraser Pass</c:v>
                </c:pt>
                <c:pt idx="11">
                  <c:v>Shankill Leisure Centre/ Shankill Road</c:v>
                </c:pt>
                <c:pt idx="12">
                  <c:v>Connswater Shopping Centre</c:v>
                </c:pt>
                <c:pt idx="13">
                  <c:v>Carrick Hill/St Patricks Church</c:v>
                </c:pt>
                <c:pt idx="14">
                  <c:v>St George's Market / Cromac Square</c:v>
                </c:pt>
                <c:pt idx="15">
                  <c:v>College Square East </c:v>
                </c:pt>
                <c:pt idx="16">
                  <c:v>Bradbury Place</c:v>
                </c:pt>
                <c:pt idx="17">
                  <c:v>Linenhall Street / Donegall Square South</c:v>
                </c:pt>
                <c:pt idx="18">
                  <c:v>Royal Avenue / Castlecourt</c:v>
                </c:pt>
                <c:pt idx="19">
                  <c:v>Cathedral Gardens / York Street</c:v>
                </c:pt>
                <c:pt idx="20">
                  <c:v>Cotton Court / Waring Street</c:v>
                </c:pt>
                <c:pt idx="21">
                  <c:v>Queens University / University Road </c:v>
                </c:pt>
                <c:pt idx="22">
                  <c:v>Great Victoria Street / Hope Street</c:v>
                </c:pt>
                <c:pt idx="23">
                  <c:v>Ormeau Road / Rosetta Roundabout </c:v>
                </c:pt>
                <c:pt idx="24">
                  <c:v>Europa Bus Station / Blackstaff Square</c:v>
                </c:pt>
                <c:pt idx="25">
                  <c:v>Victoria Square / Victoria Street</c:v>
                </c:pt>
                <c:pt idx="26">
                  <c:v>Botanic Avenue / Shaftesbury Square</c:v>
                </c:pt>
                <c:pt idx="27">
                  <c:v>Gasworks ( Lagan Towpath )</c:v>
                </c:pt>
                <c:pt idx="28">
                  <c:v>Titanic Walkway/Queens Road</c:v>
                </c:pt>
                <c:pt idx="29">
                  <c:v>Gasworks (Cromac Street)</c:v>
                </c:pt>
                <c:pt idx="30">
                  <c:v>Waterfront</c:v>
                </c:pt>
                <c:pt idx="31">
                  <c:v>Belfast City Hospital</c:v>
                </c:pt>
                <c:pt idx="32">
                  <c:v>Bankmore Square / Dublin Road</c:v>
                </c:pt>
                <c:pt idx="33">
                  <c:v>Queens University / Botanic Gardens </c:v>
                </c:pt>
                <c:pt idx="34">
                  <c:v>Allstate</c:v>
                </c:pt>
                <c:pt idx="35">
                  <c:v>CS Lewis Square</c:v>
                </c:pt>
                <c:pt idx="36">
                  <c:v>Alfred Street / St Malachy's Church</c:v>
                </c:pt>
                <c:pt idx="37">
                  <c:v>Corporation Square</c:v>
                </c:pt>
                <c:pt idx="38">
                  <c:v>Arthur Street / Chichester Street</c:v>
                </c:pt>
                <c:pt idx="39">
                  <c:v>Stranmillis Roundabout</c:v>
                </c:pt>
                <c:pt idx="40">
                  <c:v>City Hall</c:v>
                </c:pt>
                <c:pt idx="41">
                  <c:v>Donegall Quay</c:v>
                </c:pt>
                <c:pt idx="42">
                  <c:v>Central Station / Mays Meadow</c:v>
                </c:pt>
                <c:pt idx="43">
                  <c:v>Titanic Belfast Met</c:v>
                </c:pt>
                <c:pt idx="44">
                  <c:v>Odyssey / Sydenham Road</c:v>
                </c:pt>
                <c:pt idx="45">
                  <c:v>Ormeau Park</c:v>
                </c:pt>
              </c:strCache>
            </c:strRef>
          </c:cat>
          <c:val>
            <c:numRef>
              <c:f>'Rentals and Returns by Station '!$B$2:$B$47</c:f>
            </c:numRef>
          </c:val>
          <c:extLst>
            <c:ext xmlns:c16="http://schemas.microsoft.com/office/drawing/2014/chart" uri="{C3380CC4-5D6E-409C-BE32-E72D297353CC}">
              <c16:uniqueId val="{00000000-F9F0-4325-928A-2D29798CB9E4}"/>
            </c:ext>
          </c:extLst>
        </c:ser>
        <c:ser>
          <c:idx val="1"/>
          <c:order val="1"/>
          <c:tx>
            <c:strRef>
              <c:f>'Rentals and Returns by Station '!$C$1</c:f>
              <c:strCache>
                <c:ptCount val="1"/>
                <c:pt idx="0">
                  <c:v>Rentals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'Rentals and Returns by Station '!$A$2:$A$47</c:f>
              <c:strCache>
                <c:ptCount val="46"/>
                <c:pt idx="0">
                  <c:v>Falls Road/Twin Spire</c:v>
                </c:pt>
                <c:pt idx="1">
                  <c:v>Girdwood Community Hub/ Cliftonville Park Avenue</c:v>
                </c:pt>
                <c:pt idx="2">
                  <c:v>Mater Hospital/Crumlin Road</c:v>
                </c:pt>
                <c:pt idx="3">
                  <c:v>Skainos </c:v>
                </c:pt>
                <c:pt idx="4">
                  <c:v>Royal Victoria Hospital</c:v>
                </c:pt>
                <c:pt idx="5">
                  <c:v>Carlisle Circus</c:v>
                </c:pt>
                <c:pt idx="6">
                  <c:v>Antrim Road / Duncairn Centre</c:v>
                </c:pt>
                <c:pt idx="7">
                  <c:v>Millfield</c:v>
                </c:pt>
                <c:pt idx="8">
                  <c:v>Grosvenor Road/Servia Street</c:v>
                </c:pt>
                <c:pt idx="9">
                  <c:v>Ormeau Road/Somerset Street</c:v>
                </c:pt>
                <c:pt idx="10">
                  <c:v>Fraser Pass</c:v>
                </c:pt>
                <c:pt idx="11">
                  <c:v>Shankill Leisure Centre/ Shankill Road</c:v>
                </c:pt>
                <c:pt idx="12">
                  <c:v>Connswater Shopping Centre</c:v>
                </c:pt>
                <c:pt idx="13">
                  <c:v>Carrick Hill/St Patricks Church</c:v>
                </c:pt>
                <c:pt idx="14">
                  <c:v>St George's Market / Cromac Square</c:v>
                </c:pt>
                <c:pt idx="15">
                  <c:v>College Square East </c:v>
                </c:pt>
                <c:pt idx="16">
                  <c:v>Bradbury Place</c:v>
                </c:pt>
                <c:pt idx="17">
                  <c:v>Linenhall Street / Donegall Square South</c:v>
                </c:pt>
                <c:pt idx="18">
                  <c:v>Royal Avenue / Castlecourt</c:v>
                </c:pt>
                <c:pt idx="19">
                  <c:v>Cathedral Gardens / York Street</c:v>
                </c:pt>
                <c:pt idx="20">
                  <c:v>Cotton Court / Waring Street</c:v>
                </c:pt>
                <c:pt idx="21">
                  <c:v>Queens University / University Road </c:v>
                </c:pt>
                <c:pt idx="22">
                  <c:v>Great Victoria Street / Hope Street</c:v>
                </c:pt>
                <c:pt idx="23">
                  <c:v>Ormeau Road / Rosetta Roundabout </c:v>
                </c:pt>
                <c:pt idx="24">
                  <c:v>Europa Bus Station / Blackstaff Square</c:v>
                </c:pt>
                <c:pt idx="25">
                  <c:v>Victoria Square / Victoria Street</c:v>
                </c:pt>
                <c:pt idx="26">
                  <c:v>Botanic Avenue / Shaftesbury Square</c:v>
                </c:pt>
                <c:pt idx="27">
                  <c:v>Gasworks ( Lagan Towpath )</c:v>
                </c:pt>
                <c:pt idx="28">
                  <c:v>Titanic Walkway/Queens Road</c:v>
                </c:pt>
                <c:pt idx="29">
                  <c:v>Gasworks (Cromac Street)</c:v>
                </c:pt>
                <c:pt idx="30">
                  <c:v>Waterfront</c:v>
                </c:pt>
                <c:pt idx="31">
                  <c:v>Belfast City Hospital</c:v>
                </c:pt>
                <c:pt idx="32">
                  <c:v>Bankmore Square / Dublin Road</c:v>
                </c:pt>
                <c:pt idx="33">
                  <c:v>Queens University / Botanic Gardens </c:v>
                </c:pt>
                <c:pt idx="34">
                  <c:v>Allstate</c:v>
                </c:pt>
                <c:pt idx="35">
                  <c:v>CS Lewis Square</c:v>
                </c:pt>
                <c:pt idx="36">
                  <c:v>Alfred Street / St Malachy's Church</c:v>
                </c:pt>
                <c:pt idx="37">
                  <c:v>Corporation Square</c:v>
                </c:pt>
                <c:pt idx="38">
                  <c:v>Arthur Street / Chichester Street</c:v>
                </c:pt>
                <c:pt idx="39">
                  <c:v>Stranmillis Roundabout</c:v>
                </c:pt>
                <c:pt idx="40">
                  <c:v>City Hall</c:v>
                </c:pt>
                <c:pt idx="41">
                  <c:v>Donegall Quay</c:v>
                </c:pt>
                <c:pt idx="42">
                  <c:v>Central Station / Mays Meadow</c:v>
                </c:pt>
                <c:pt idx="43">
                  <c:v>Titanic Belfast Met</c:v>
                </c:pt>
                <c:pt idx="44">
                  <c:v>Odyssey / Sydenham Road</c:v>
                </c:pt>
                <c:pt idx="45">
                  <c:v>Ormeau Park</c:v>
                </c:pt>
              </c:strCache>
            </c:strRef>
          </c:cat>
          <c:val>
            <c:numRef>
              <c:f>'Rentals and Returns by Station '!$C$2:$C$47</c:f>
              <c:numCache>
                <c:formatCode>General</c:formatCode>
                <c:ptCount val="46"/>
                <c:pt idx="0">
                  <c:v>3</c:v>
                </c:pt>
                <c:pt idx="1">
                  <c:v>4</c:v>
                </c:pt>
                <c:pt idx="2">
                  <c:v>18</c:v>
                </c:pt>
                <c:pt idx="3">
                  <c:v>33</c:v>
                </c:pt>
                <c:pt idx="4">
                  <c:v>39</c:v>
                </c:pt>
                <c:pt idx="5">
                  <c:v>40</c:v>
                </c:pt>
                <c:pt idx="6">
                  <c:v>41</c:v>
                </c:pt>
                <c:pt idx="7">
                  <c:v>53</c:v>
                </c:pt>
                <c:pt idx="8">
                  <c:v>67</c:v>
                </c:pt>
                <c:pt idx="9">
                  <c:v>67</c:v>
                </c:pt>
                <c:pt idx="10">
                  <c:v>78</c:v>
                </c:pt>
                <c:pt idx="11">
                  <c:v>79</c:v>
                </c:pt>
                <c:pt idx="12">
                  <c:v>115</c:v>
                </c:pt>
                <c:pt idx="13">
                  <c:v>121</c:v>
                </c:pt>
                <c:pt idx="14">
                  <c:v>161</c:v>
                </c:pt>
                <c:pt idx="15">
                  <c:v>194</c:v>
                </c:pt>
                <c:pt idx="16">
                  <c:v>228</c:v>
                </c:pt>
                <c:pt idx="17">
                  <c:v>240</c:v>
                </c:pt>
                <c:pt idx="18">
                  <c:v>255</c:v>
                </c:pt>
                <c:pt idx="19">
                  <c:v>294</c:v>
                </c:pt>
                <c:pt idx="20">
                  <c:v>315</c:v>
                </c:pt>
                <c:pt idx="21">
                  <c:v>328</c:v>
                </c:pt>
                <c:pt idx="22">
                  <c:v>347</c:v>
                </c:pt>
                <c:pt idx="23">
                  <c:v>371</c:v>
                </c:pt>
                <c:pt idx="24">
                  <c:v>379</c:v>
                </c:pt>
                <c:pt idx="25">
                  <c:v>385</c:v>
                </c:pt>
                <c:pt idx="26">
                  <c:v>410</c:v>
                </c:pt>
                <c:pt idx="27">
                  <c:v>418</c:v>
                </c:pt>
                <c:pt idx="28">
                  <c:v>432</c:v>
                </c:pt>
                <c:pt idx="29">
                  <c:v>439</c:v>
                </c:pt>
                <c:pt idx="30">
                  <c:v>445</c:v>
                </c:pt>
                <c:pt idx="31">
                  <c:v>446</c:v>
                </c:pt>
                <c:pt idx="32">
                  <c:v>475</c:v>
                </c:pt>
                <c:pt idx="33">
                  <c:v>475</c:v>
                </c:pt>
                <c:pt idx="34">
                  <c:v>478</c:v>
                </c:pt>
                <c:pt idx="35">
                  <c:v>505</c:v>
                </c:pt>
                <c:pt idx="36">
                  <c:v>564</c:v>
                </c:pt>
                <c:pt idx="37">
                  <c:v>566</c:v>
                </c:pt>
                <c:pt idx="38">
                  <c:v>595</c:v>
                </c:pt>
                <c:pt idx="39">
                  <c:v>676</c:v>
                </c:pt>
                <c:pt idx="40">
                  <c:v>695</c:v>
                </c:pt>
                <c:pt idx="41">
                  <c:v>723</c:v>
                </c:pt>
                <c:pt idx="42">
                  <c:v>796</c:v>
                </c:pt>
                <c:pt idx="43">
                  <c:v>880</c:v>
                </c:pt>
                <c:pt idx="44">
                  <c:v>965</c:v>
                </c:pt>
                <c:pt idx="45">
                  <c:v>1122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F0-4325-928A-2D29798CB9E4}"/>
            </c:ext>
          </c:extLst>
        </c:ser>
        <c:ser>
          <c:idx val="2"/>
          <c:order val="2"/>
          <c:tx>
            <c:strRef>
              <c:f>'Rentals and Returns by Station '!$D$1</c:f>
              <c:strCache>
                <c:ptCount val="1"/>
                <c:pt idx="0">
                  <c:v>Returns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'Rentals and Returns by Station '!$A$2:$A$47</c:f>
              <c:strCache>
                <c:ptCount val="46"/>
                <c:pt idx="0">
                  <c:v>Falls Road/Twin Spire</c:v>
                </c:pt>
                <c:pt idx="1">
                  <c:v>Girdwood Community Hub/ Cliftonville Park Avenue</c:v>
                </c:pt>
                <c:pt idx="2">
                  <c:v>Mater Hospital/Crumlin Road</c:v>
                </c:pt>
                <c:pt idx="3">
                  <c:v>Skainos </c:v>
                </c:pt>
                <c:pt idx="4">
                  <c:v>Royal Victoria Hospital</c:v>
                </c:pt>
                <c:pt idx="5">
                  <c:v>Carlisle Circus</c:v>
                </c:pt>
                <c:pt idx="6">
                  <c:v>Antrim Road / Duncairn Centre</c:v>
                </c:pt>
                <c:pt idx="7">
                  <c:v>Millfield</c:v>
                </c:pt>
                <c:pt idx="8">
                  <c:v>Grosvenor Road/Servia Street</c:v>
                </c:pt>
                <c:pt idx="9">
                  <c:v>Ormeau Road/Somerset Street</c:v>
                </c:pt>
                <c:pt idx="10">
                  <c:v>Fraser Pass</c:v>
                </c:pt>
                <c:pt idx="11">
                  <c:v>Shankill Leisure Centre/ Shankill Road</c:v>
                </c:pt>
                <c:pt idx="12">
                  <c:v>Connswater Shopping Centre</c:v>
                </c:pt>
                <c:pt idx="13">
                  <c:v>Carrick Hill/St Patricks Church</c:v>
                </c:pt>
                <c:pt idx="14">
                  <c:v>St George's Market / Cromac Square</c:v>
                </c:pt>
                <c:pt idx="15">
                  <c:v>College Square East </c:v>
                </c:pt>
                <c:pt idx="16">
                  <c:v>Bradbury Place</c:v>
                </c:pt>
                <c:pt idx="17">
                  <c:v>Linenhall Street / Donegall Square South</c:v>
                </c:pt>
                <c:pt idx="18">
                  <c:v>Royal Avenue / Castlecourt</c:v>
                </c:pt>
                <c:pt idx="19">
                  <c:v>Cathedral Gardens / York Street</c:v>
                </c:pt>
                <c:pt idx="20">
                  <c:v>Cotton Court / Waring Street</c:v>
                </c:pt>
                <c:pt idx="21">
                  <c:v>Queens University / University Road </c:v>
                </c:pt>
                <c:pt idx="22">
                  <c:v>Great Victoria Street / Hope Street</c:v>
                </c:pt>
                <c:pt idx="23">
                  <c:v>Ormeau Road / Rosetta Roundabout </c:v>
                </c:pt>
                <c:pt idx="24">
                  <c:v>Europa Bus Station / Blackstaff Square</c:v>
                </c:pt>
                <c:pt idx="25">
                  <c:v>Victoria Square / Victoria Street</c:v>
                </c:pt>
                <c:pt idx="26">
                  <c:v>Botanic Avenue / Shaftesbury Square</c:v>
                </c:pt>
                <c:pt idx="27">
                  <c:v>Gasworks ( Lagan Towpath )</c:v>
                </c:pt>
                <c:pt idx="28">
                  <c:v>Titanic Walkway/Queens Road</c:v>
                </c:pt>
                <c:pt idx="29">
                  <c:v>Gasworks (Cromac Street)</c:v>
                </c:pt>
                <c:pt idx="30">
                  <c:v>Waterfront</c:v>
                </c:pt>
                <c:pt idx="31">
                  <c:v>Belfast City Hospital</c:v>
                </c:pt>
                <c:pt idx="32">
                  <c:v>Bankmore Square / Dublin Road</c:v>
                </c:pt>
                <c:pt idx="33">
                  <c:v>Queens University / Botanic Gardens </c:v>
                </c:pt>
                <c:pt idx="34">
                  <c:v>Allstate</c:v>
                </c:pt>
                <c:pt idx="35">
                  <c:v>CS Lewis Square</c:v>
                </c:pt>
                <c:pt idx="36">
                  <c:v>Alfred Street / St Malachy's Church</c:v>
                </c:pt>
                <c:pt idx="37">
                  <c:v>Corporation Square</c:v>
                </c:pt>
                <c:pt idx="38">
                  <c:v>Arthur Street / Chichester Street</c:v>
                </c:pt>
                <c:pt idx="39">
                  <c:v>Stranmillis Roundabout</c:v>
                </c:pt>
                <c:pt idx="40">
                  <c:v>City Hall</c:v>
                </c:pt>
                <c:pt idx="41">
                  <c:v>Donegall Quay</c:v>
                </c:pt>
                <c:pt idx="42">
                  <c:v>Central Station / Mays Meadow</c:v>
                </c:pt>
                <c:pt idx="43">
                  <c:v>Titanic Belfast Met</c:v>
                </c:pt>
                <c:pt idx="44">
                  <c:v>Odyssey / Sydenham Road</c:v>
                </c:pt>
                <c:pt idx="45">
                  <c:v>Ormeau Park</c:v>
                </c:pt>
              </c:strCache>
            </c:strRef>
          </c:cat>
          <c:val>
            <c:numRef>
              <c:f>'Rentals and Returns by Station '!$D$2:$D$47</c:f>
              <c:numCache>
                <c:formatCode>General</c:formatCode>
                <c:ptCount val="46"/>
                <c:pt idx="0">
                  <c:v>18</c:v>
                </c:pt>
                <c:pt idx="1">
                  <c:v>6</c:v>
                </c:pt>
                <c:pt idx="2">
                  <c:v>20</c:v>
                </c:pt>
                <c:pt idx="3">
                  <c:v>34</c:v>
                </c:pt>
                <c:pt idx="4">
                  <c:v>47</c:v>
                </c:pt>
                <c:pt idx="5">
                  <c:v>23</c:v>
                </c:pt>
                <c:pt idx="6">
                  <c:v>41</c:v>
                </c:pt>
                <c:pt idx="7">
                  <c:v>67</c:v>
                </c:pt>
                <c:pt idx="8">
                  <c:v>112</c:v>
                </c:pt>
                <c:pt idx="9">
                  <c:v>46</c:v>
                </c:pt>
                <c:pt idx="10">
                  <c:v>86</c:v>
                </c:pt>
                <c:pt idx="11">
                  <c:v>71</c:v>
                </c:pt>
                <c:pt idx="12">
                  <c:v>104</c:v>
                </c:pt>
                <c:pt idx="13">
                  <c:v>99</c:v>
                </c:pt>
                <c:pt idx="14">
                  <c:v>180</c:v>
                </c:pt>
                <c:pt idx="15">
                  <c:v>195</c:v>
                </c:pt>
                <c:pt idx="16">
                  <c:v>173</c:v>
                </c:pt>
                <c:pt idx="17">
                  <c:v>202</c:v>
                </c:pt>
                <c:pt idx="18">
                  <c:v>302</c:v>
                </c:pt>
                <c:pt idx="19">
                  <c:v>322</c:v>
                </c:pt>
                <c:pt idx="20">
                  <c:v>322</c:v>
                </c:pt>
                <c:pt idx="21">
                  <c:v>305</c:v>
                </c:pt>
                <c:pt idx="22">
                  <c:v>328</c:v>
                </c:pt>
                <c:pt idx="23">
                  <c:v>347</c:v>
                </c:pt>
                <c:pt idx="24">
                  <c:v>385</c:v>
                </c:pt>
                <c:pt idx="25">
                  <c:v>387</c:v>
                </c:pt>
                <c:pt idx="26">
                  <c:v>426</c:v>
                </c:pt>
                <c:pt idx="27">
                  <c:v>395</c:v>
                </c:pt>
                <c:pt idx="28">
                  <c:v>399</c:v>
                </c:pt>
                <c:pt idx="29">
                  <c:v>436</c:v>
                </c:pt>
                <c:pt idx="30">
                  <c:v>415</c:v>
                </c:pt>
                <c:pt idx="31">
                  <c:v>438</c:v>
                </c:pt>
                <c:pt idx="32">
                  <c:v>471</c:v>
                </c:pt>
                <c:pt idx="33">
                  <c:v>411</c:v>
                </c:pt>
                <c:pt idx="34">
                  <c:v>501</c:v>
                </c:pt>
                <c:pt idx="35">
                  <c:v>476</c:v>
                </c:pt>
                <c:pt idx="36">
                  <c:v>546</c:v>
                </c:pt>
                <c:pt idx="37">
                  <c:v>521</c:v>
                </c:pt>
                <c:pt idx="38">
                  <c:v>638</c:v>
                </c:pt>
                <c:pt idx="39">
                  <c:v>724</c:v>
                </c:pt>
                <c:pt idx="40">
                  <c:v>652</c:v>
                </c:pt>
                <c:pt idx="41">
                  <c:v>693</c:v>
                </c:pt>
                <c:pt idx="42">
                  <c:v>780</c:v>
                </c:pt>
                <c:pt idx="43">
                  <c:v>806</c:v>
                </c:pt>
                <c:pt idx="44">
                  <c:v>934</c:v>
                </c:pt>
                <c:pt idx="45">
                  <c:v>1075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9F0-4325-928A-2D29798CB9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37979744"/>
        <c:axId val="737976792"/>
      </c:barChart>
      <c:catAx>
        <c:axId val="7379797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37976792"/>
        <c:crosses val="autoZero"/>
        <c:auto val="1"/>
        <c:lblAlgn val="ctr"/>
        <c:lblOffset val="100"/>
        <c:noMultiLvlLbl val="0"/>
      </c:catAx>
      <c:valAx>
        <c:axId val="7379767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37979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Kelly</dc:creator>
  <cp:keywords/>
  <dc:description/>
  <cp:lastModifiedBy>Alistair Millar</cp:lastModifiedBy>
  <cp:revision>3</cp:revision>
  <dcterms:created xsi:type="dcterms:W3CDTF">2020-01-09T13:58:00Z</dcterms:created>
  <dcterms:modified xsi:type="dcterms:W3CDTF">2020-01-09T14:10:00Z</dcterms:modified>
</cp:coreProperties>
</file>